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Look w:val="04A0" w:firstRow="1" w:lastRow="0" w:firstColumn="1" w:lastColumn="0" w:noHBand="0" w:noVBand="1"/>
      </w:tblPr>
      <w:tblGrid>
        <w:gridCol w:w="1383"/>
        <w:gridCol w:w="4259"/>
        <w:gridCol w:w="3810"/>
      </w:tblGrid>
      <w:tr w:rsidR="00A53A37" w:rsidTr="002A41A0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2A41A0">
            <w:pPr>
              <w:pStyle w:val="ab"/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bottom w:val="thinThickSmallGap" w:sz="24" w:space="0" w:color="auto"/>
            </w:tcBorders>
            <w:vAlign w:val="center"/>
          </w:tcPr>
          <w:p w:rsidR="00A53A37" w:rsidRPr="004A1FCC" w:rsidRDefault="00A53A37" w:rsidP="002A41A0">
            <w:pPr>
              <w:pStyle w:val="ab"/>
              <w:ind w:hanging="108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 w:rsidRPr="004A1FCC">
              <w:rPr>
                <w:rFonts w:ascii="Helen Bg Cond" w:hAnsi="Helen Bg Cond"/>
                <w:b/>
                <w:sz w:val="30"/>
                <w:szCs w:val="30"/>
                <w:lang w:val="bg-BG"/>
              </w:rPr>
              <w:t>РЕПУБЛИКА БЪЛГАРИЯ</w:t>
            </w:r>
          </w:p>
          <w:p w:rsidR="00A53A37" w:rsidRDefault="00A53A37" w:rsidP="002A41A0">
            <w:pPr>
              <w:pStyle w:val="ab"/>
              <w:ind w:left="-108"/>
              <w:rPr>
                <w:rFonts w:ascii="Helen Bg Cond" w:hAnsi="Helen Bg Cond"/>
                <w:sz w:val="26"/>
                <w:szCs w:val="26"/>
                <w:lang w:val="bg-BG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 xml:space="preserve">Държавна агенция </w:t>
            </w:r>
          </w:p>
          <w:p w:rsidR="00A53A37" w:rsidRPr="00B7531D" w:rsidRDefault="00A53A37" w:rsidP="002A41A0">
            <w:pPr>
              <w:pStyle w:val="ab"/>
              <w:ind w:left="-108"/>
              <w:rPr>
                <w:sz w:val="26"/>
                <w:szCs w:val="26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>за закрила на 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2A41A0">
            <w:pPr>
              <w:pStyle w:val="ab"/>
              <w:ind w:hanging="108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E869D2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/п/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462BBE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01.10.2018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г.</w:t>
      </w:r>
    </w:p>
    <w:p w:rsidR="007E5091" w:rsidRPr="007E5091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Д-Р ЕЛЕОНОРА ЛИЛОВА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E5091">
        <w:rPr>
          <w:rFonts w:ascii="Times New Roman" w:hAnsi="Times New Roman"/>
          <w:b/>
          <w:sz w:val="32"/>
          <w:szCs w:val="32"/>
          <w:lang w:val="bg-BG"/>
        </w:rPr>
        <w:t>201</w:t>
      </w:r>
      <w:r w:rsidR="00462BBE">
        <w:rPr>
          <w:rFonts w:ascii="Times New Roman" w:hAnsi="Times New Roman"/>
          <w:b/>
          <w:sz w:val="32"/>
          <w:szCs w:val="32"/>
          <w:lang w:val="bg-BG"/>
        </w:rPr>
        <w:t>8</w:t>
      </w:r>
      <w:r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>Съставът на Съвета се формира от по един представител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до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18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избрани в съответствие с настоящата процедура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a5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 xml:space="preserve">Умение за водене на преговори и участие в групови дискусии 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Pr="00C11D96" w:rsidRDefault="003D0ED7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Доказани умения да работи, мотивира и обединява децата от областта</w:t>
      </w:r>
    </w:p>
    <w:p w:rsidR="00C11D96" w:rsidRPr="00C11D96" w:rsidRDefault="00C11D96" w:rsidP="00C11D96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Умение за изказване на 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позиция от името на другите деца от областта</w:t>
      </w:r>
    </w:p>
    <w:p w:rsidR="00A53A37" w:rsidRDefault="00C11D96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a5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a5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т.н),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, 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17EDB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определят и резервните й членове.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Pr="00580F8E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водене на преговори и участие в групови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Доказани умения да работи, мотивира и обединява децата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lastRenderedPageBreak/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a5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af2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759CC">
        <w:rPr>
          <w:rFonts w:ascii="Times New Roman" w:hAnsi="Times New Roman"/>
          <w:sz w:val="24"/>
          <w:szCs w:val="24"/>
          <w:lang w:val="bg-BG"/>
        </w:rPr>
        <w:lastRenderedPageBreak/>
        <w:t xml:space="preserve">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</w:t>
      </w: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 xml:space="preserve">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един представител на неправителствени организации, </w:t>
      </w:r>
      <w:r w:rsidRPr="003E1C3B">
        <w:rPr>
          <w:rFonts w:ascii="Times New Roman" w:hAnsi="Times New Roman"/>
          <w:sz w:val="24"/>
          <w:szCs w:val="24"/>
          <w:lang w:val="bg-BG"/>
        </w:rPr>
        <w:lastRenderedPageBreak/>
        <w:t xml:space="preserve">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>, един представител на ВК БООН и един – на организации, работещи с 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 на комисията 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lastRenderedPageBreak/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370706">
          <w:footerReference w:type="default" r:id="rId11"/>
          <w:pgSz w:w="12240" w:h="15840"/>
          <w:pgMar w:top="994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Умение за водене на преговори и участие в групови дискусии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Доказани умения да работи, мотивира и обединява децата от 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неправителствени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работещи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както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потребители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доброволци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социални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услуги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за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 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a5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3-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a5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af2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62" w:rsidRDefault="00CE6762" w:rsidP="007A7682">
      <w:pPr>
        <w:spacing w:after="0" w:line="240" w:lineRule="auto"/>
      </w:pPr>
      <w:r>
        <w:separator/>
      </w:r>
    </w:p>
  </w:endnote>
  <w:endnote w:type="continuationSeparator" w:id="0">
    <w:p w:rsidR="00CE6762" w:rsidRDefault="00CE6762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B7" w:rsidRDefault="00681DB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D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1DB7" w:rsidRDefault="00681D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62" w:rsidRDefault="00CE6762" w:rsidP="007A7682">
      <w:pPr>
        <w:spacing w:after="0" w:line="240" w:lineRule="auto"/>
      </w:pPr>
      <w:r>
        <w:separator/>
      </w:r>
    </w:p>
  </w:footnote>
  <w:footnote w:type="continuationSeparator" w:id="0">
    <w:p w:rsidR="00CE6762" w:rsidRDefault="00CE6762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af0"/>
        <w:rPr>
          <w:lang w:val="bg-BG"/>
        </w:rPr>
      </w:pPr>
    </w:p>
  </w:footnote>
  <w:footnote w:id="2">
    <w:p w:rsidR="00681DB7" w:rsidRPr="00087332" w:rsidRDefault="00681DB7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af2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681DB7" w:rsidRPr="00087332" w:rsidRDefault="00681DB7">
      <w:pPr>
        <w:pStyle w:val="af0"/>
        <w:rPr>
          <w:lang w:val="bg-BG"/>
        </w:rPr>
      </w:pPr>
    </w:p>
  </w:footnote>
  <w:footnote w:id="3">
    <w:p w:rsidR="00681DB7" w:rsidRPr="00623B1D" w:rsidRDefault="00681DB7" w:rsidP="00F13A45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681DB7" w:rsidRPr="00F13A45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681DB7" w:rsidRPr="002634D1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681DB7" w:rsidRPr="002634D1" w:rsidRDefault="00681DB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B2D59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92214"/>
    <w:rsid w:val="008F3ACD"/>
    <w:rsid w:val="008F7224"/>
    <w:rsid w:val="008F72C6"/>
    <w:rsid w:val="00913845"/>
    <w:rsid w:val="0091719E"/>
    <w:rsid w:val="00925F16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CE6762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869D2"/>
    <w:rsid w:val="00E94A86"/>
    <w:rsid w:val="00EB40CC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5490-0542-4F78-9064-AD58574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5912</Words>
  <Characters>33700</Characters>
  <Application>Microsoft Office Word</Application>
  <DocSecurity>0</DocSecurity>
  <Lines>280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Албена С Драгоева</cp:lastModifiedBy>
  <cp:revision>2</cp:revision>
  <cp:lastPrinted>2018-10-17T07:05:00Z</cp:lastPrinted>
  <dcterms:created xsi:type="dcterms:W3CDTF">2020-05-22T08:14:00Z</dcterms:created>
  <dcterms:modified xsi:type="dcterms:W3CDTF">2020-05-22T08:14:00Z</dcterms:modified>
</cp:coreProperties>
</file>